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0404" w14:textId="703BE593" w:rsidR="00BF12B8" w:rsidRDefault="00BF12B8">
      <w:r>
        <w:rPr>
          <w:noProof/>
        </w:rPr>
        <w:drawing>
          <wp:anchor distT="0" distB="0" distL="114300" distR="114300" simplePos="0" relativeHeight="251658240" behindDoc="0" locked="0" layoutInCell="1" allowOverlap="1" wp14:anchorId="6BFDDC86" wp14:editId="6E38FF2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95980" cy="1408430"/>
            <wp:effectExtent l="0" t="0" r="0" b="1270"/>
            <wp:wrapSquare wrapText="bothSides"/>
            <wp:docPr id="17485306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54063" w14:textId="77777777" w:rsidR="00BF12B8" w:rsidRDefault="00BF12B8"/>
    <w:p w14:paraId="58B4ADED" w14:textId="77777777" w:rsidR="00BF12B8" w:rsidRDefault="00BF12B8"/>
    <w:p w14:paraId="476D181E" w14:textId="77777777" w:rsidR="00BF12B8" w:rsidRDefault="00BF12B8"/>
    <w:p w14:paraId="096A8568" w14:textId="77777777" w:rsidR="00BF12B8" w:rsidRDefault="00BF12B8"/>
    <w:p w14:paraId="2F85C14E" w14:textId="77777777" w:rsidR="00BF12B8" w:rsidRDefault="00BF12B8"/>
    <w:p w14:paraId="79FC813E" w14:textId="4BC05340" w:rsidR="00BF12B8" w:rsidRDefault="007F2009" w:rsidP="00BF12B8">
      <w:pPr>
        <w:jc w:val="center"/>
      </w:pPr>
      <w:r>
        <w:rPr>
          <w:b/>
          <w:bCs/>
        </w:rPr>
        <w:t>COORDINADOR DE</w:t>
      </w:r>
      <w:r w:rsidR="00BF12B8" w:rsidRPr="00BF12B8">
        <w:rPr>
          <w:b/>
          <w:bCs/>
        </w:rPr>
        <w:t xml:space="preserve"> OBRAS PÚBLICAS</w:t>
      </w:r>
      <w:r w:rsidR="00683682">
        <w:rPr>
          <w:b/>
          <w:bCs/>
        </w:rPr>
        <w:t>.</w:t>
      </w:r>
    </w:p>
    <w:p w14:paraId="3FF3D772" w14:textId="08253989" w:rsidR="00283813" w:rsidRDefault="00B06271" w:rsidP="00BF12B8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3C51D9F4" w14:textId="798A0BCE" w:rsidR="00283813" w:rsidRDefault="00283813" w:rsidP="00BF12B8">
      <w:pPr>
        <w:jc w:val="both"/>
      </w:pPr>
      <w:r w:rsidRPr="00283813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</w:t>
      </w:r>
    </w:p>
    <w:p w14:paraId="7F58E51B" w14:textId="77777777" w:rsidR="00283813" w:rsidRDefault="00283813" w:rsidP="00BF12B8">
      <w:pPr>
        <w:jc w:val="both"/>
      </w:pPr>
      <w:r>
        <w:t xml:space="preserve"> </w:t>
      </w:r>
      <w:r w:rsidRPr="00283813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p w14:paraId="60351F1E" w14:textId="7108CC14" w:rsidR="00932BA9" w:rsidRDefault="00283813" w:rsidP="00BF12B8">
      <w:pPr>
        <w:jc w:val="both"/>
      </w:pPr>
      <w:r>
        <w:t xml:space="preserve"> </w:t>
      </w:r>
      <w:r w:rsidR="00BF12B8" w:rsidRPr="00BF12B8">
        <w:rPr>
          <w:b/>
          <w:bCs/>
        </w:rPr>
        <w:t xml:space="preserve"> ARTÍCULO 118.-</w:t>
      </w:r>
      <w:r w:rsidR="00BF12B8">
        <w:t xml:space="preserve"> Los Ayuntamientos por conducto de su Presidente Municipal o de las dependencias municipales de obras públicas, planeación, urbanismo y movilidad, ejercerán las funciones relativas a la planeación, urbanización y movilidad de los centros y zonas destinados a los asentamientos humanos de su jurisdicción, con las atribuciones que les asignen las leyes Federales y Estatales en la materia y demás disposiciones legales aplicables.</w:t>
      </w:r>
    </w:p>
    <w:sectPr w:rsidR="00932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8"/>
    <w:rsid w:val="00044175"/>
    <w:rsid w:val="00283813"/>
    <w:rsid w:val="00683682"/>
    <w:rsid w:val="007F2009"/>
    <w:rsid w:val="00932BA9"/>
    <w:rsid w:val="00B06271"/>
    <w:rsid w:val="00B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B11E"/>
  <w15:chartTrackingRefBased/>
  <w15:docId w15:val="{31CB3EAB-1894-4ECC-BD54-02E90B0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2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2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2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2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2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2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1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12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2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2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2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dcterms:created xsi:type="dcterms:W3CDTF">2024-04-22T17:01:00Z</dcterms:created>
  <dcterms:modified xsi:type="dcterms:W3CDTF">2024-04-24T15:49:00Z</dcterms:modified>
</cp:coreProperties>
</file>